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417D31" w:rsidRPr="00417D31">
        <w:rPr>
          <w:rFonts w:ascii="Arial" w:hAnsi="Arial" w:cs="Arial"/>
          <w:b/>
        </w:rPr>
        <w:t>JOÃO SURERUS DE OLIVEIRA JUNIOR</w:t>
      </w:r>
      <w:r w:rsidR="00417D31" w:rsidRPr="002A142B">
        <w:rPr>
          <w:rFonts w:ascii="Arial" w:hAnsi="Arial" w:cs="Arial"/>
        </w:rPr>
        <w:t xml:space="preserve">, pessoa física inscrita no CPF/MF sob nº </w:t>
      </w:r>
      <w:r w:rsidR="00417D31" w:rsidRPr="00417D31">
        <w:rPr>
          <w:rFonts w:ascii="Arial" w:hAnsi="Arial" w:cs="Arial"/>
        </w:rPr>
        <w:t>013.390.236-60</w:t>
      </w:r>
      <w:r w:rsidR="00417D31" w:rsidRPr="002A142B">
        <w:rPr>
          <w:rFonts w:ascii="Arial" w:hAnsi="Arial" w:cs="Arial"/>
        </w:rPr>
        <w:t xml:space="preserve">, constante da categoria profissional de médico, registro no CRM/MG sob nº </w:t>
      </w:r>
      <w:r w:rsidR="00417D31">
        <w:rPr>
          <w:rFonts w:ascii="Arial" w:hAnsi="Arial" w:cs="Arial"/>
        </w:rPr>
        <w:t>80182</w:t>
      </w:r>
      <w:r w:rsidR="00417D31" w:rsidRPr="002A142B">
        <w:rPr>
          <w:rFonts w:ascii="Arial" w:hAnsi="Arial" w:cs="Arial"/>
        </w:rPr>
        <w:t xml:space="preserve">/MG, residente e domiciliado à Rua </w:t>
      </w:r>
      <w:r w:rsidR="00417D31">
        <w:rPr>
          <w:rFonts w:ascii="Arial" w:hAnsi="Arial" w:cs="Arial"/>
        </w:rPr>
        <w:t>Nelson Gomes de Carvalho</w:t>
      </w:r>
      <w:r w:rsidR="00417D31" w:rsidRPr="002A142B">
        <w:rPr>
          <w:rFonts w:ascii="Arial" w:hAnsi="Arial" w:cs="Arial"/>
        </w:rPr>
        <w:t xml:space="preserve">, nº </w:t>
      </w:r>
      <w:r w:rsidR="00417D31">
        <w:rPr>
          <w:rFonts w:ascii="Arial" w:hAnsi="Arial" w:cs="Arial"/>
        </w:rPr>
        <w:t>160</w:t>
      </w:r>
      <w:r w:rsidR="00417D31" w:rsidRPr="002A142B">
        <w:rPr>
          <w:rFonts w:ascii="Arial" w:hAnsi="Arial" w:cs="Arial"/>
        </w:rPr>
        <w:t xml:space="preserve">, </w:t>
      </w:r>
      <w:r w:rsidR="00417D31">
        <w:rPr>
          <w:rFonts w:ascii="Arial" w:hAnsi="Arial" w:cs="Arial"/>
        </w:rPr>
        <w:t>Vale do Ipê</w:t>
      </w:r>
      <w:r w:rsidR="00417D31" w:rsidRPr="002A142B">
        <w:rPr>
          <w:rFonts w:ascii="Arial" w:hAnsi="Arial" w:cs="Arial"/>
        </w:rPr>
        <w:t xml:space="preserve">, na cidade de Juiz </w:t>
      </w:r>
      <w:r w:rsidR="00417D31">
        <w:rPr>
          <w:rFonts w:ascii="Arial" w:hAnsi="Arial" w:cs="Arial"/>
        </w:rPr>
        <w:t>de Fora – MG,</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8A65BF" w:rsidRDefault="00417D31" w:rsidP="00417D31">
      <w:pPr>
        <w:shd w:val="clear" w:color="auto" w:fill="FFFFFF" w:themeFill="background1"/>
        <w:autoSpaceDE w:val="0"/>
        <w:autoSpaceDN w:val="0"/>
        <w:adjustRightInd w:val="0"/>
        <w:jc w:val="center"/>
        <w:rPr>
          <w:rFonts w:ascii="Arial" w:eastAsia="Times New Roman" w:hAnsi="Arial" w:cs="Arial"/>
          <w:bCs/>
          <w:iCs/>
          <w:szCs w:val="24"/>
        </w:rPr>
      </w:pPr>
      <w:r w:rsidRPr="00417D31">
        <w:rPr>
          <w:rFonts w:ascii="Arial" w:eastAsia="Times New Roman" w:hAnsi="Arial" w:cs="Arial"/>
          <w:bCs/>
          <w:iCs/>
          <w:szCs w:val="24"/>
        </w:rPr>
        <w:t xml:space="preserve">João </w:t>
      </w:r>
      <w:proofErr w:type="spellStart"/>
      <w:r w:rsidRPr="00417D31">
        <w:rPr>
          <w:rFonts w:ascii="Arial" w:eastAsia="Times New Roman" w:hAnsi="Arial" w:cs="Arial"/>
          <w:bCs/>
          <w:iCs/>
          <w:szCs w:val="24"/>
        </w:rPr>
        <w:t>Surerus</w:t>
      </w:r>
      <w:proofErr w:type="spellEnd"/>
      <w:r w:rsidRPr="00417D31">
        <w:rPr>
          <w:rFonts w:ascii="Arial" w:eastAsia="Times New Roman" w:hAnsi="Arial" w:cs="Arial"/>
          <w:bCs/>
          <w:iCs/>
          <w:szCs w:val="24"/>
        </w:rPr>
        <w:t xml:space="preserve"> de Oliveira Junior</w:t>
      </w:r>
    </w:p>
    <w:p w:rsidR="00417D31" w:rsidRPr="00417D31" w:rsidRDefault="00417D31" w:rsidP="00417D31">
      <w:pPr>
        <w:shd w:val="clear" w:color="auto" w:fill="FFFFFF" w:themeFill="background1"/>
        <w:autoSpaceDE w:val="0"/>
        <w:autoSpaceDN w:val="0"/>
        <w:adjustRightInd w:val="0"/>
        <w:jc w:val="center"/>
        <w:rPr>
          <w:rFonts w:ascii="Arial" w:hAnsi="Arial" w:cs="Arial"/>
          <w:szCs w:val="24"/>
        </w:rPr>
      </w:pPr>
      <w:r w:rsidRPr="00417D31">
        <w:rPr>
          <w:rFonts w:ascii="Arial" w:hAnsi="Arial" w:cs="Arial"/>
          <w:szCs w:val="24"/>
        </w:rPr>
        <w:t xml:space="preserve">CPF </w:t>
      </w:r>
      <w:r>
        <w:rPr>
          <w:rFonts w:ascii="Arial" w:hAnsi="Arial" w:cs="Arial"/>
          <w:szCs w:val="24"/>
        </w:rPr>
        <w:t>013.390.236-60</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417D31">
        <w:rPr>
          <w:sz w:val="24"/>
          <w:szCs w:val="24"/>
        </w:rPr>
        <w:t>27</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w:t>
      </w:r>
      <w:r w:rsidRPr="00755199">
        <w:rPr>
          <w:rFonts w:ascii="Arial" w:hAnsi="Arial" w:cs="Arial"/>
          <w:b/>
          <w:szCs w:val="24"/>
        </w:rPr>
        <w:t xml:space="preserve">MUNICÍPIO DE </w:t>
      </w:r>
      <w:r w:rsidR="009F08D5" w:rsidRPr="00755199">
        <w:rPr>
          <w:rFonts w:ascii="Arial" w:hAnsi="Arial" w:cs="Arial"/>
          <w:b/>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755199" w:rsidRPr="00417D31">
        <w:rPr>
          <w:rFonts w:ascii="Arial" w:hAnsi="Arial" w:cs="Arial"/>
          <w:b/>
        </w:rPr>
        <w:t>JOÃO SURERUS DE OLIVEIRA JUNIOR</w:t>
      </w:r>
      <w:r w:rsidR="00755199" w:rsidRPr="002A142B">
        <w:rPr>
          <w:rFonts w:ascii="Arial" w:hAnsi="Arial" w:cs="Arial"/>
        </w:rPr>
        <w:t xml:space="preserve">, pessoa física inscrita no CPF/MF sob nº </w:t>
      </w:r>
      <w:r w:rsidR="00755199" w:rsidRPr="00417D31">
        <w:rPr>
          <w:rFonts w:ascii="Arial" w:hAnsi="Arial" w:cs="Arial"/>
          <w:szCs w:val="24"/>
        </w:rPr>
        <w:t>013.390.236-60</w:t>
      </w:r>
      <w:r w:rsidR="00755199" w:rsidRPr="002A142B">
        <w:rPr>
          <w:rFonts w:ascii="Arial" w:hAnsi="Arial" w:cs="Arial"/>
        </w:rPr>
        <w:t xml:space="preserve">, constante da categoria profissional de médico, registro no CRM/MG sob nº </w:t>
      </w:r>
      <w:r w:rsidR="00755199">
        <w:rPr>
          <w:rFonts w:ascii="Arial" w:hAnsi="Arial" w:cs="Arial"/>
        </w:rPr>
        <w:t>80182</w:t>
      </w:r>
      <w:r w:rsidR="00755199" w:rsidRPr="002A142B">
        <w:rPr>
          <w:rFonts w:ascii="Arial" w:hAnsi="Arial" w:cs="Arial"/>
        </w:rPr>
        <w:t xml:space="preserve">/MG, residente e domiciliado à Rua </w:t>
      </w:r>
      <w:r w:rsidR="00755199">
        <w:rPr>
          <w:rFonts w:ascii="Arial" w:hAnsi="Arial" w:cs="Arial"/>
        </w:rPr>
        <w:t>Nelson Gomes de Carvalho</w:t>
      </w:r>
      <w:r w:rsidR="00755199" w:rsidRPr="002A142B">
        <w:rPr>
          <w:rFonts w:ascii="Arial" w:hAnsi="Arial" w:cs="Arial"/>
        </w:rPr>
        <w:t xml:space="preserve">, nº </w:t>
      </w:r>
      <w:r w:rsidR="00755199">
        <w:rPr>
          <w:rFonts w:ascii="Arial" w:hAnsi="Arial" w:cs="Arial"/>
        </w:rPr>
        <w:t>160</w:t>
      </w:r>
      <w:r w:rsidR="00755199" w:rsidRPr="002A142B">
        <w:rPr>
          <w:rFonts w:ascii="Arial" w:hAnsi="Arial" w:cs="Arial"/>
        </w:rPr>
        <w:t xml:space="preserve">, </w:t>
      </w:r>
      <w:r w:rsidR="00755199">
        <w:rPr>
          <w:rFonts w:ascii="Arial" w:hAnsi="Arial" w:cs="Arial"/>
        </w:rPr>
        <w:t>Vale do Ipê</w:t>
      </w:r>
      <w:r w:rsidR="00755199" w:rsidRPr="002A142B">
        <w:rPr>
          <w:rFonts w:ascii="Arial" w:hAnsi="Arial" w:cs="Arial"/>
        </w:rPr>
        <w:t xml:space="preserve">, na cidade de Juiz </w:t>
      </w:r>
      <w:r w:rsidR="00755199">
        <w:rPr>
          <w:rFonts w:ascii="Arial" w:hAnsi="Arial" w:cs="Arial"/>
        </w:rPr>
        <w:t>de Fora – MG.</w:t>
      </w:r>
      <w:bookmarkStart w:id="0" w:name="_GoBack"/>
      <w:bookmarkEnd w:id="0"/>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As partes acima identificadas têm, entre si, justas e acertadas o presente contrato administrativo de credenciamento para a prestação de </w:t>
      </w:r>
      <w:proofErr w:type="gramStart"/>
      <w:r w:rsidRPr="006E32DB">
        <w:rPr>
          <w:rFonts w:ascii="Arial" w:hAnsi="Arial" w:cs="Arial"/>
          <w:szCs w:val="24"/>
        </w:rPr>
        <w:t>serviços</w:t>
      </w:r>
      <w:proofErr w:type="gramEnd"/>
      <w:r w:rsidRPr="006E32DB">
        <w:rPr>
          <w:rFonts w:ascii="Arial" w:hAnsi="Arial" w:cs="Arial"/>
          <w:szCs w:val="24"/>
        </w:rPr>
        <w:t xml:space="preserve"> </w:t>
      </w:r>
      <w:proofErr w:type="gramStart"/>
      <w:r w:rsidRPr="006E32DB">
        <w:rPr>
          <w:rFonts w:ascii="Arial" w:hAnsi="Arial" w:cs="Arial"/>
          <w:szCs w:val="24"/>
        </w:rPr>
        <w:t>médicos</w:t>
      </w:r>
      <w:proofErr w:type="gramEnd"/>
      <w:r w:rsidRPr="006E32DB">
        <w:rPr>
          <w:rFonts w:ascii="Arial" w:hAnsi="Arial" w:cs="Arial"/>
          <w:szCs w:val="24"/>
        </w:rPr>
        <w:t xml:space="preserve"> na especialidade</w:t>
      </w:r>
      <w:r w:rsidR="00755199" w:rsidRPr="00755199">
        <w:rPr>
          <w:rFonts w:ascii="Arial" w:hAnsi="Arial" w:cs="Arial"/>
          <w:szCs w:val="24"/>
        </w:rPr>
        <w:t xml:space="preserve"> </w:t>
      </w:r>
      <w:r w:rsidR="00755199" w:rsidRPr="000C1190">
        <w:rPr>
          <w:rFonts w:ascii="Arial" w:hAnsi="Arial" w:cs="Arial"/>
          <w:szCs w:val="24"/>
        </w:rPr>
        <w:t>Clinico Geral</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O presente contrato tem por objeto o credenciamento do </w:t>
      </w:r>
      <w:r w:rsidRPr="006E32DB">
        <w:rPr>
          <w:rFonts w:ascii="Arial" w:hAnsi="Arial" w:cs="Arial"/>
          <w:b/>
          <w:szCs w:val="24"/>
        </w:rPr>
        <w:t xml:space="preserve">CREDENCIADO </w:t>
      </w:r>
      <w:r w:rsidRPr="006E32DB">
        <w:rPr>
          <w:rFonts w:ascii="Arial" w:hAnsi="Arial" w:cs="Arial"/>
          <w:szCs w:val="24"/>
        </w:rPr>
        <w:t xml:space="preserve">para a prestação de serviços médicos de sua especialidade, por consulta realizada.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lastRenderedPageBreak/>
        <w:t xml:space="preserve">Os </w:t>
      </w:r>
      <w:r w:rsidR="003F780A">
        <w:rPr>
          <w:rFonts w:ascii="Arial" w:hAnsi="Arial" w:cs="Arial"/>
          <w:szCs w:val="24"/>
        </w:rPr>
        <w:t>serviços contratados serão prestados em regime de plantão de 12 (DOZE)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Pr="003F780A">
        <w:rPr>
          <w:rFonts w:ascii="Arial" w:hAnsi="Arial" w:cs="Arial"/>
          <w:b/>
          <w:szCs w:val="24"/>
        </w:rPr>
        <w:t>12 (DOZE)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xml:space="preserve">, honorários ou despesas incidentais sobre os serviços </w:t>
      </w:r>
      <w:r w:rsidR="008A65BF" w:rsidRPr="006E32DB">
        <w:rPr>
          <w:rFonts w:ascii="Arial" w:hAnsi="Arial" w:cs="Arial"/>
          <w:szCs w:val="24"/>
        </w:rPr>
        <w:lastRenderedPageBreak/>
        <w:t>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bem como, de higiene e segurança do trabalho, 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w:t>
      </w:r>
      <w:r w:rsidRPr="006E32DB">
        <w:rPr>
          <w:rFonts w:ascii="Arial" w:hAnsi="Arial" w:cs="Arial"/>
          <w:szCs w:val="24"/>
        </w:rPr>
        <w:lastRenderedPageBreak/>
        <w:t xml:space="preserve">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lastRenderedPageBreak/>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w:t>
      </w:r>
      <w:r w:rsidRPr="006E32DB">
        <w:rPr>
          <w:rFonts w:ascii="Arial" w:hAnsi="Arial" w:cs="Arial"/>
          <w:szCs w:val="24"/>
        </w:rPr>
        <w:lastRenderedPageBreak/>
        <w:t xml:space="preserve">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desde que comunique, com 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w:t>
      </w:r>
      <w:r w:rsidRPr="006E32DB">
        <w:rPr>
          <w:rFonts w:ascii="Arial" w:hAnsi="Arial" w:cs="Arial"/>
          <w:szCs w:val="24"/>
        </w:rPr>
        <w:lastRenderedPageBreak/>
        <w:t xml:space="preserve">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lastRenderedPageBreak/>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755199" w:rsidRDefault="00755199" w:rsidP="00755199">
      <w:pPr>
        <w:shd w:val="clear" w:color="auto" w:fill="FFFFFF" w:themeFill="background1"/>
        <w:autoSpaceDE w:val="0"/>
        <w:autoSpaceDN w:val="0"/>
        <w:adjustRightInd w:val="0"/>
        <w:spacing w:after="0" w:line="240" w:lineRule="auto"/>
        <w:contextualSpacing/>
        <w:jc w:val="center"/>
        <w:rPr>
          <w:rFonts w:ascii="Arial" w:eastAsia="Times New Roman" w:hAnsi="Arial" w:cs="Arial"/>
          <w:bCs/>
          <w:iCs/>
          <w:szCs w:val="24"/>
        </w:rPr>
      </w:pPr>
      <w:r w:rsidRPr="00417D31">
        <w:rPr>
          <w:rFonts w:ascii="Arial" w:eastAsia="Times New Roman" w:hAnsi="Arial" w:cs="Arial"/>
          <w:bCs/>
          <w:iCs/>
          <w:szCs w:val="24"/>
        </w:rPr>
        <w:t xml:space="preserve">João </w:t>
      </w:r>
      <w:proofErr w:type="spellStart"/>
      <w:r w:rsidRPr="00417D31">
        <w:rPr>
          <w:rFonts w:ascii="Arial" w:eastAsia="Times New Roman" w:hAnsi="Arial" w:cs="Arial"/>
          <w:bCs/>
          <w:iCs/>
          <w:szCs w:val="24"/>
        </w:rPr>
        <w:t>Surerus</w:t>
      </w:r>
      <w:proofErr w:type="spellEnd"/>
      <w:r w:rsidRPr="00417D31">
        <w:rPr>
          <w:rFonts w:ascii="Arial" w:eastAsia="Times New Roman" w:hAnsi="Arial" w:cs="Arial"/>
          <w:bCs/>
          <w:iCs/>
          <w:szCs w:val="24"/>
        </w:rPr>
        <w:t xml:space="preserve"> de Oliveira Junior</w:t>
      </w:r>
    </w:p>
    <w:p w:rsidR="00755199" w:rsidRDefault="00755199" w:rsidP="00755199">
      <w:pPr>
        <w:pStyle w:val="Corpodetexto3"/>
        <w:shd w:val="clear" w:color="auto" w:fill="FFFFFF" w:themeFill="background1"/>
        <w:contextualSpacing/>
        <w:jc w:val="center"/>
        <w:rPr>
          <w:rFonts w:cs="Arial"/>
        </w:rPr>
      </w:pPr>
      <w:r w:rsidRPr="00417D31">
        <w:rPr>
          <w:rFonts w:cs="Arial"/>
        </w:rPr>
        <w:t xml:space="preserve">CPF </w:t>
      </w:r>
      <w:r>
        <w:rPr>
          <w:rFonts w:cs="Arial"/>
        </w:rPr>
        <w:t>013.390.236-60</w:t>
      </w:r>
    </w:p>
    <w:p w:rsidR="00787C15" w:rsidRPr="006E32DB" w:rsidRDefault="00755199" w:rsidP="00755199">
      <w:pPr>
        <w:pStyle w:val="Corpodetexto3"/>
        <w:shd w:val="clear" w:color="auto" w:fill="FFFFFF" w:themeFill="background1"/>
        <w:jc w:val="center"/>
        <w:rPr>
          <w:sz w:val="24"/>
        </w:rPr>
      </w:pPr>
      <w:r>
        <w:rPr>
          <w:sz w:val="24"/>
        </w:rPr>
        <w:t>Médico Contratado</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83" w:rsidRDefault="004D3D83" w:rsidP="008A65BF">
      <w:pPr>
        <w:spacing w:after="0" w:line="240" w:lineRule="auto"/>
      </w:pPr>
      <w:r>
        <w:separator/>
      </w:r>
    </w:p>
  </w:endnote>
  <w:endnote w:type="continuationSeparator" w:id="0">
    <w:p w:rsidR="004D3D83" w:rsidRDefault="004D3D83"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83" w:rsidRDefault="004D3D83" w:rsidP="008A65BF">
      <w:pPr>
        <w:spacing w:after="0" w:line="240" w:lineRule="auto"/>
      </w:pPr>
      <w:r>
        <w:separator/>
      </w:r>
    </w:p>
  </w:footnote>
  <w:footnote w:type="continuationSeparator" w:id="0">
    <w:p w:rsidR="004D3D83" w:rsidRDefault="004D3D83"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81405"/>
    <w:rsid w:val="000B6F9B"/>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17D31"/>
    <w:rsid w:val="00461937"/>
    <w:rsid w:val="004671CD"/>
    <w:rsid w:val="004864E7"/>
    <w:rsid w:val="004D298B"/>
    <w:rsid w:val="004D3D83"/>
    <w:rsid w:val="004F02E7"/>
    <w:rsid w:val="00523209"/>
    <w:rsid w:val="0058134B"/>
    <w:rsid w:val="005A28A8"/>
    <w:rsid w:val="005D6E44"/>
    <w:rsid w:val="00630018"/>
    <w:rsid w:val="006322F0"/>
    <w:rsid w:val="006E32DB"/>
    <w:rsid w:val="00755199"/>
    <w:rsid w:val="0076767E"/>
    <w:rsid w:val="00787C15"/>
    <w:rsid w:val="007A4DAB"/>
    <w:rsid w:val="007E0828"/>
    <w:rsid w:val="00834FF3"/>
    <w:rsid w:val="00845CA1"/>
    <w:rsid w:val="008A65BF"/>
    <w:rsid w:val="00930A45"/>
    <w:rsid w:val="009323E3"/>
    <w:rsid w:val="009A4F8C"/>
    <w:rsid w:val="009B2D16"/>
    <w:rsid w:val="009E14DD"/>
    <w:rsid w:val="009F08D5"/>
    <w:rsid w:val="00A161D5"/>
    <w:rsid w:val="00A8442C"/>
    <w:rsid w:val="00AB5851"/>
    <w:rsid w:val="00B74611"/>
    <w:rsid w:val="00CE7934"/>
    <w:rsid w:val="00DF3C34"/>
    <w:rsid w:val="00E7516C"/>
    <w:rsid w:val="00E82BAC"/>
    <w:rsid w:val="00F2125F"/>
    <w:rsid w:val="00F85B20"/>
    <w:rsid w:val="00FA306D"/>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2603</Words>
  <Characters>14060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4</cp:revision>
  <dcterms:created xsi:type="dcterms:W3CDTF">2020-04-13T14:31:00Z</dcterms:created>
  <dcterms:modified xsi:type="dcterms:W3CDTF">2020-04-13T14:39:00Z</dcterms:modified>
</cp:coreProperties>
</file>